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5C0B41" w:rsidRDefault="00702DEB" w:rsidP="0017793A">
      <w:pPr>
        <w:pStyle w:val="Heading1"/>
      </w:pPr>
      <w:r>
        <w:t>Practical tools</w:t>
      </w:r>
      <w:r w:rsidR="00E665BF">
        <w:t>:</w:t>
      </w:r>
      <w:r>
        <w:t xml:space="preserve"> e</w:t>
      </w:r>
      <w:r w:rsidR="003D552C">
        <w:t xml:space="preserve">xample </w:t>
      </w:r>
      <w:r>
        <w:t>of a w</w:t>
      </w:r>
      <w:r w:rsidR="00275B2F">
        <w:t xml:space="preserve">orkload and </w:t>
      </w:r>
      <w:r>
        <w:t>wellbeing action p</w:t>
      </w:r>
      <w:r w:rsidR="00275B2F">
        <w:t xml:space="preserve">lan </w:t>
      </w:r>
    </w:p>
    <w:p w:rsidR="00625BE7" w:rsidRPr="00625BE7" w:rsidRDefault="00625BE7" w:rsidP="00625BE7">
      <w:pPr>
        <w:pStyle w:val="Heading2"/>
      </w:pPr>
      <w:r>
        <w:t xml:space="preserve">Introduction </w:t>
      </w:r>
    </w:p>
    <w:p w:rsidR="004E7EED" w:rsidRDefault="00275B2F" w:rsidP="006D0F28">
      <w:pPr>
        <w:rPr>
          <w:rFonts w:cs="Arial"/>
          <w:iCs/>
          <w:sz w:val="24"/>
        </w:rPr>
      </w:pPr>
      <w:r w:rsidRPr="0017787A">
        <w:rPr>
          <w:rFonts w:cs="Arial"/>
          <w:iCs/>
          <w:sz w:val="24"/>
        </w:rPr>
        <w:t>Notre Dame High School, an academy converter in Norwich</w:t>
      </w:r>
      <w:r w:rsidR="00B32E83">
        <w:rPr>
          <w:rFonts w:cs="Arial"/>
          <w:iCs/>
          <w:sz w:val="24"/>
        </w:rPr>
        <w:t xml:space="preserve"> with approximately 1,400 </w:t>
      </w:r>
      <w:r w:rsidRPr="0017787A">
        <w:rPr>
          <w:rFonts w:cs="Arial"/>
          <w:iCs/>
          <w:sz w:val="24"/>
        </w:rPr>
        <w:t>pupils, has created a wellbeing committee across the school. The committee issued a wellbeing survey and used the results to create an action plan to focus on improving staff wellbeing and reducing workload.</w:t>
      </w:r>
      <w:r w:rsidR="00283BCC">
        <w:rPr>
          <w:rFonts w:cs="Arial"/>
          <w:iCs/>
          <w:sz w:val="24"/>
        </w:rPr>
        <w:t xml:space="preserve"> The action plan outlines the key areas of focus, the actions to be taken, what success looks like and the timescale for actions to be taken. </w:t>
      </w:r>
    </w:p>
    <w:p w:rsidR="006D0F28" w:rsidRDefault="00B4315C" w:rsidP="006D0F28">
      <w:pPr>
        <w:rPr>
          <w:rFonts w:cs="Arial"/>
          <w:sz w:val="24"/>
        </w:rPr>
      </w:pPr>
      <w:r w:rsidRPr="00B4315C">
        <w:rPr>
          <w:rFonts w:cs="Arial"/>
          <w:sz w:val="24"/>
        </w:rPr>
        <w:t xml:space="preserve">Schools can, if they wish, tailor or adopt this example when reviewing their own practice although there is no requirement to do so. </w:t>
      </w:r>
    </w:p>
    <w:p w:rsidR="006D0F28" w:rsidRPr="0017787A" w:rsidRDefault="006D0F28" w:rsidP="006D0F28">
      <w:pPr>
        <w:pStyle w:val="Heading2"/>
      </w:pPr>
      <w:r w:rsidRPr="0017787A">
        <w:t xml:space="preserve">Action Plan Key 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Objective:</w:t>
      </w:r>
      <w:r w:rsidRPr="00EC1D80">
        <w:rPr>
          <w:rFonts w:cs="Arial"/>
          <w:bCs/>
          <w:sz w:val="24"/>
        </w:rPr>
        <w:t xml:space="preserve"> </w:t>
      </w:r>
      <w:r w:rsidRPr="0017787A">
        <w:rPr>
          <w:rFonts w:cs="Arial"/>
          <w:bCs/>
          <w:sz w:val="24"/>
        </w:rPr>
        <w:t>Identify one (at most two) things that we are going to do to help fulfil th</w:t>
      </w:r>
      <w:r w:rsidR="00625BE7">
        <w:rPr>
          <w:rFonts w:cs="Arial"/>
          <w:bCs/>
          <w:sz w:val="24"/>
        </w:rPr>
        <w:t>is priority issue from the well</w:t>
      </w:r>
      <w:r w:rsidRPr="0017787A">
        <w:rPr>
          <w:rFonts w:cs="Arial"/>
          <w:bCs/>
          <w:sz w:val="24"/>
        </w:rPr>
        <w:t>being survey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Action: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W</w:t>
      </w:r>
      <w:r w:rsidRPr="0017787A">
        <w:rPr>
          <w:rFonts w:cs="Arial"/>
          <w:bCs/>
          <w:sz w:val="24"/>
        </w:rPr>
        <w:t>hat are we actually going to do?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Success Criteria: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H</w:t>
      </w:r>
      <w:r w:rsidRPr="0017787A">
        <w:rPr>
          <w:rFonts w:cs="Arial"/>
          <w:bCs/>
          <w:sz w:val="24"/>
        </w:rPr>
        <w:t>ow will we know that we have succeeded?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Time Scale/Completion:</w:t>
      </w:r>
      <w:r w:rsidRPr="00EC1D80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H</w:t>
      </w:r>
      <w:r w:rsidRPr="0017787A">
        <w:rPr>
          <w:rFonts w:cs="Arial"/>
          <w:bCs/>
          <w:sz w:val="24"/>
        </w:rPr>
        <w:t>ow long should this take us and are there any important milestones to include if the timescale is, for example, over the whole year?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Resources: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W</w:t>
      </w:r>
      <w:r w:rsidRPr="0017787A">
        <w:rPr>
          <w:rFonts w:cs="Arial"/>
          <w:bCs/>
          <w:sz w:val="24"/>
        </w:rPr>
        <w:t>hat realistic additional support will we need to achieve your objective?</w:t>
      </w:r>
    </w:p>
    <w:p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Monitoring: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T</w:t>
      </w:r>
      <w:r w:rsidRPr="0017787A">
        <w:rPr>
          <w:rFonts w:cs="Arial"/>
          <w:bCs/>
          <w:sz w:val="24"/>
        </w:rPr>
        <w:t>his could be one person</w:t>
      </w:r>
      <w:r>
        <w:rPr>
          <w:rFonts w:cs="Arial"/>
          <w:bCs/>
          <w:sz w:val="24"/>
        </w:rPr>
        <w:t xml:space="preserve"> or group</w:t>
      </w:r>
    </w:p>
    <w:p w:rsidR="006D0F28" w:rsidRPr="0017787A" w:rsidRDefault="006D0F28" w:rsidP="006D0F28">
      <w:pPr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Evaluation and Further Action: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T</w:t>
      </w:r>
      <w:r w:rsidRPr="0017787A">
        <w:rPr>
          <w:rFonts w:cs="Arial"/>
          <w:bCs/>
          <w:sz w:val="24"/>
        </w:rPr>
        <w:t xml:space="preserve">his will be discussed and agreed with </w:t>
      </w:r>
      <w:r>
        <w:rPr>
          <w:rFonts w:cs="Arial"/>
          <w:bCs/>
          <w:sz w:val="24"/>
        </w:rPr>
        <w:t>staff</w:t>
      </w:r>
    </w:p>
    <w:p w:rsidR="006D0F28" w:rsidRPr="0017787A" w:rsidRDefault="006D0F28" w:rsidP="006D0F28">
      <w:pPr>
        <w:pStyle w:val="Heading2"/>
      </w:pPr>
      <w:r w:rsidRPr="0017787A">
        <w:t>Underlying questions to consider:</w:t>
      </w:r>
    </w:p>
    <w:p w:rsidR="006D0F28" w:rsidRPr="0017787A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For whom am I doing this?</w:t>
      </w:r>
    </w:p>
    <w:p w:rsidR="006D0F28" w:rsidRPr="0017787A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Will it improve the quality of teaching?</w:t>
      </w:r>
    </w:p>
    <w:p w:rsidR="006D0F28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What impact will it have on students?</w:t>
      </w:r>
    </w:p>
    <w:p w:rsidR="006C2914" w:rsidRPr="006D0F28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6D0F28">
        <w:rPr>
          <w:rFonts w:cs="Arial"/>
          <w:bCs/>
          <w:sz w:val="24"/>
        </w:rPr>
        <w:t>Can we do this in a more efficient and effective way?</w:t>
      </w:r>
      <w:r>
        <w:rPr>
          <w:rFonts w:cs="Arial"/>
          <w:bCs/>
          <w:sz w:val="24"/>
        </w:rPr>
        <w:br/>
      </w:r>
    </w:p>
    <w:p w:rsidR="00B32E83" w:rsidRPr="006C2914" w:rsidRDefault="00B32E83" w:rsidP="006C2914">
      <w:pPr>
        <w:pStyle w:val="EndBox"/>
        <w:rPr>
          <w:sz w:val="24"/>
        </w:rPr>
      </w:pPr>
      <w:r w:rsidRPr="006C2914">
        <w:rPr>
          <w:sz w:val="24"/>
          <w:szCs w:val="24"/>
        </w:rPr>
        <w:t xml:space="preserve">For further details, please contact: Neil Cully, </w:t>
      </w:r>
      <w:proofErr w:type="spellStart"/>
      <w:r w:rsidRPr="006C2914">
        <w:rPr>
          <w:sz w:val="24"/>
          <w:szCs w:val="24"/>
        </w:rPr>
        <w:t>Headteacher</w:t>
      </w:r>
      <w:proofErr w:type="spellEnd"/>
      <w:r w:rsidRPr="006C2914">
        <w:rPr>
          <w:sz w:val="24"/>
          <w:szCs w:val="24"/>
        </w:rPr>
        <w:t xml:space="preserve">, at </w:t>
      </w:r>
      <w:hyperlink r:id="rId13" w:history="1">
        <w:r w:rsidRPr="006C2914">
          <w:rPr>
            <w:rStyle w:val="Hyperlink"/>
            <w:szCs w:val="24"/>
          </w:rPr>
          <w:t>NCully@ndhs.org.uk</w:t>
        </w:r>
      </w:hyperlink>
      <w:r w:rsidRPr="006C2914">
        <w:rPr>
          <w:sz w:val="24"/>
          <w:szCs w:val="24"/>
        </w:rPr>
        <w:t xml:space="preserve">  </w:t>
      </w:r>
    </w:p>
    <w:p w:rsidR="006D0F28" w:rsidRDefault="006D0F28" w:rsidP="00B32E83">
      <w:pPr>
        <w:rPr>
          <w:sz w:val="24"/>
        </w:rPr>
      </w:pPr>
    </w:p>
    <w:p w:rsidR="006D0F28" w:rsidRDefault="006D0F28" w:rsidP="00B32E83">
      <w:pPr>
        <w:rPr>
          <w:sz w:val="24"/>
        </w:rPr>
      </w:pPr>
    </w:p>
    <w:p w:rsidR="00B32E83" w:rsidRPr="006C2914" w:rsidRDefault="00B32E83" w:rsidP="00B32E83">
      <w:pPr>
        <w:rPr>
          <w:sz w:val="24"/>
        </w:rPr>
      </w:pPr>
      <w:r w:rsidRPr="006C2914">
        <w:rPr>
          <w:sz w:val="24"/>
        </w:rPr>
        <w:t>© Crown copyright 2018</w:t>
      </w:r>
    </w:p>
    <w:p w:rsidR="00275B2F" w:rsidRPr="00B32E83" w:rsidRDefault="00275B2F" w:rsidP="00275B2F">
      <w:pPr>
        <w:spacing w:after="0" w:line="240" w:lineRule="auto"/>
        <w:rPr>
          <w:rFonts w:cstheme="minorHAnsi"/>
          <w:b/>
          <w:sz w:val="24"/>
        </w:rPr>
        <w:sectPr w:rsidR="00275B2F" w:rsidRPr="00B32E83" w:rsidSect="00622501">
          <w:footerReference w:type="default" r:id="rId14"/>
          <w:footerReference w:type="first" r:id="rId15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tbl>
      <w:tblPr>
        <w:tblStyle w:val="TableGrid"/>
        <w:tblW w:w="13604" w:type="dxa"/>
        <w:tblLayout w:type="fixed"/>
        <w:tblLook w:val="04A0" w:firstRow="1" w:lastRow="0" w:firstColumn="1" w:lastColumn="0" w:noHBand="0" w:noVBand="1"/>
      </w:tblPr>
      <w:tblGrid>
        <w:gridCol w:w="399"/>
        <w:gridCol w:w="2573"/>
        <w:gridCol w:w="1985"/>
        <w:gridCol w:w="1426"/>
        <w:gridCol w:w="1537"/>
        <w:gridCol w:w="1857"/>
        <w:gridCol w:w="1275"/>
        <w:gridCol w:w="2552"/>
      </w:tblGrid>
      <w:tr w:rsidR="00557E6A" w:rsidTr="00EC1D80">
        <w:tc>
          <w:tcPr>
            <w:tcW w:w="2972" w:type="dxa"/>
            <w:gridSpan w:val="2"/>
          </w:tcPr>
          <w:p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985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Action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Success Criteria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t>Time Scale/</w:t>
            </w:r>
          </w:p>
          <w:p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857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Resources: Staffing, Time, Money, CPD</w:t>
            </w:r>
          </w:p>
        </w:tc>
        <w:tc>
          <w:tcPr>
            <w:tcW w:w="1275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Monitoring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Evaluation &amp; Further Action</w:t>
            </w:r>
          </w:p>
        </w:tc>
      </w:tr>
      <w:tr w:rsidR="00557E6A" w:rsidRPr="00EA22B6" w:rsidTr="00EC1D80">
        <w:tc>
          <w:tcPr>
            <w:tcW w:w="399" w:type="dxa"/>
          </w:tcPr>
          <w:p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73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Review current format for annual report to parents</w:t>
            </w:r>
          </w:p>
        </w:tc>
        <w:tc>
          <w:tcPr>
            <w:tcW w:w="1985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Investigate statutory requirement + consultation with parents about any proposed changes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snapToGrid w:val="0"/>
                <w:sz w:val="20"/>
                <w:szCs w:val="20"/>
              </w:rPr>
              <w:t>Any changes, if approved, are fully justified, and communicated to all stakeholders before implementation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Summer term 2018</w:t>
            </w:r>
          </w:p>
        </w:tc>
        <w:tc>
          <w:tcPr>
            <w:tcW w:w="1857" w:type="dxa"/>
          </w:tcPr>
          <w:p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Time made available for discussions with teaching staff, parents, and students</w:t>
            </w:r>
          </w:p>
        </w:tc>
        <w:tc>
          <w:tcPr>
            <w:tcW w:w="1275" w:type="dxa"/>
          </w:tcPr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Leadership Team &amp; Staff Wellbeing Committee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Recommendations shared with Governors TLC Committee.</w:t>
            </w:r>
          </w:p>
        </w:tc>
      </w:tr>
      <w:tr w:rsidR="00557E6A" w:rsidRPr="00EA22B6" w:rsidTr="00EC1D80">
        <w:tc>
          <w:tcPr>
            <w:tcW w:w="399" w:type="dxa"/>
          </w:tcPr>
          <w:p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Reduce time spent by teachers on planning and preparing lessons</w:t>
            </w:r>
          </w:p>
        </w:tc>
        <w:tc>
          <w:tcPr>
            <w:tcW w:w="1985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Each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dept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to review their SOW and share and store resources &amp; learning activities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proofErr w:type="spellStart"/>
            <w:r w:rsidRPr="00E665BF">
              <w:rPr>
                <w:rFonts w:cs="Arial"/>
                <w:sz w:val="20"/>
                <w:szCs w:val="20"/>
              </w:rPr>
              <w:t>Depts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that currently do not routinely share planning and preparation report an improvement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Collaborative work to begin in summer term 2018 and continue over next year</w:t>
            </w:r>
          </w:p>
        </w:tc>
        <w:tc>
          <w:tcPr>
            <w:tcW w:w="1857" w:type="dxa"/>
          </w:tcPr>
          <w:p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C1D80">
              <w:rPr>
                <w:rFonts w:cs="Arial"/>
                <w:sz w:val="20"/>
                <w:szCs w:val="20"/>
              </w:rPr>
              <w:t>Dept</w:t>
            </w:r>
            <w:proofErr w:type="spellEnd"/>
            <w:r w:rsidRPr="00EC1D80">
              <w:rPr>
                <w:rFonts w:cs="Arial"/>
                <w:sz w:val="20"/>
                <w:szCs w:val="20"/>
              </w:rPr>
              <w:t xml:space="preserve"> time, PPA and gained time in the second half of the summer term</w:t>
            </w:r>
          </w:p>
        </w:tc>
        <w:tc>
          <w:tcPr>
            <w:tcW w:w="1275" w:type="dxa"/>
          </w:tcPr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Leadership team to include check on SOW and planning and preparation within meeting schedule with HODs; Staff Wellbeing Committee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Progress shared with Governors’ TLS Committee + staff workload survey Jan 2019 to assess impact</w:t>
            </w:r>
          </w:p>
        </w:tc>
      </w:tr>
      <w:tr w:rsidR="00557E6A" w:rsidRPr="00EA22B6" w:rsidTr="00EC1D80">
        <w:tc>
          <w:tcPr>
            <w:tcW w:w="399" w:type="dxa"/>
          </w:tcPr>
          <w:p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573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Provide training on staff wellbeing and specifically on how to maintain a reasonable work-life balance or on how to manage a large workload</w:t>
            </w:r>
          </w:p>
        </w:tc>
        <w:tc>
          <w:tcPr>
            <w:tcW w:w="1985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Provide training to provide advice which helps </w:t>
            </w:r>
          </w:p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Leadership team, line managers and individuals to review current practice and make reasonable adjustments to working practices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snapToGrid w:val="0"/>
                <w:sz w:val="20"/>
                <w:szCs w:val="20"/>
              </w:rPr>
              <w:t>Greater clarity and more guidance given about what is expected and required regarding work-life balance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Training provided by beginning of new academic year for all staff</w:t>
            </w:r>
          </w:p>
        </w:tc>
        <w:tc>
          <w:tcPr>
            <w:tcW w:w="1857" w:type="dxa"/>
          </w:tcPr>
          <w:p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Funding for training</w:t>
            </w:r>
          </w:p>
        </w:tc>
        <w:tc>
          <w:tcPr>
            <w:tcW w:w="1275" w:type="dxa"/>
          </w:tcPr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Annual wellbeing report to Governors</w:t>
            </w:r>
          </w:p>
        </w:tc>
      </w:tr>
      <w:tr w:rsidR="00557E6A" w:rsidRPr="00EA22B6" w:rsidTr="00EC1D80">
        <w:tc>
          <w:tcPr>
            <w:tcW w:w="399" w:type="dxa"/>
          </w:tcPr>
          <w:p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573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Improve equality of opportunity for staff seeking promotion</w:t>
            </w:r>
          </w:p>
        </w:tc>
        <w:tc>
          <w:tcPr>
            <w:tcW w:w="1985" w:type="dxa"/>
          </w:tcPr>
          <w:p w:rsidR="00557E6A" w:rsidRPr="00E665BF" w:rsidRDefault="00557E6A" w:rsidP="000C31E2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Develop strategies to encourage </w:t>
            </w:r>
            <w:r>
              <w:rPr>
                <w:rFonts w:cs="Arial"/>
                <w:sz w:val="20"/>
                <w:szCs w:val="20"/>
              </w:rPr>
              <w:t>underrepresented staff</w:t>
            </w:r>
            <w:r w:rsidRPr="00E665BF">
              <w:rPr>
                <w:rFonts w:cs="Arial"/>
                <w:sz w:val="20"/>
                <w:szCs w:val="20"/>
              </w:rPr>
              <w:t xml:space="preserve"> into management &amp; leadership roles by: implementing specific advice for all stakeholders for reference-writing; use of secondments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Staff feedback is positive about the impact of the strategy; evidence that more women are applying for management &amp; leadership posts and are successful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Easter 2018- 19</w:t>
            </w:r>
          </w:p>
        </w:tc>
        <w:tc>
          <w:tcPr>
            <w:tcW w:w="1857" w:type="dxa"/>
          </w:tcPr>
          <w:p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CPD and time for research</w:t>
            </w:r>
          </w:p>
        </w:tc>
        <w:tc>
          <w:tcPr>
            <w:tcW w:w="1275" w:type="dxa"/>
          </w:tcPr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Progress shared with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Govs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Resources</w:t>
            </w:r>
          </w:p>
        </w:tc>
      </w:tr>
      <w:tr w:rsidR="00557E6A" w:rsidRPr="00EA22B6" w:rsidTr="00EC1D80">
        <w:tc>
          <w:tcPr>
            <w:tcW w:w="399" w:type="dxa"/>
          </w:tcPr>
          <w:p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573" w:type="dxa"/>
          </w:tcPr>
          <w:p w:rsidR="00557E6A" w:rsidRPr="00E665BF" w:rsidRDefault="00557E6A" w:rsidP="0032251F">
            <w:pPr>
              <w:rPr>
                <w:rFonts w:cs="Arial"/>
                <w:color w:val="FF0000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Review and amend, where necessary, support staff appraisal policy and procedures so that all support staff receive annual appraisal and have access to appropriate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cpd</w:t>
            </w:r>
            <w:proofErr w:type="spellEnd"/>
          </w:p>
        </w:tc>
        <w:tc>
          <w:tcPr>
            <w:tcW w:w="1985" w:type="dxa"/>
          </w:tcPr>
          <w:p w:rsidR="00557E6A" w:rsidRPr="00E665BF" w:rsidRDefault="00557E6A" w:rsidP="0032251F">
            <w:pPr>
              <w:rPr>
                <w:rFonts w:cs="Arial"/>
                <w:color w:val="000000"/>
                <w:sz w:val="20"/>
                <w:szCs w:val="20"/>
              </w:rPr>
            </w:pPr>
            <w:r w:rsidRPr="00E665BF">
              <w:rPr>
                <w:rFonts w:cs="Arial"/>
                <w:color w:val="000000"/>
                <w:sz w:val="20"/>
                <w:szCs w:val="20"/>
              </w:rPr>
              <w:t>Create working party to make recommended changes for implementation from Sept 2018</w:t>
            </w:r>
          </w:p>
        </w:tc>
        <w:tc>
          <w:tcPr>
            <w:tcW w:w="1426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All support staff have an annual appraisal</w:t>
            </w:r>
          </w:p>
        </w:tc>
        <w:tc>
          <w:tcPr>
            <w:tcW w:w="1537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Summer term 2018</w:t>
            </w:r>
          </w:p>
        </w:tc>
        <w:tc>
          <w:tcPr>
            <w:tcW w:w="1857" w:type="dxa"/>
          </w:tcPr>
          <w:p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Training for line managers, where required</w:t>
            </w:r>
          </w:p>
        </w:tc>
        <w:tc>
          <w:tcPr>
            <w:tcW w:w="1275" w:type="dxa"/>
          </w:tcPr>
          <w:p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Progress shared with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Govs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Resources</w:t>
            </w:r>
          </w:p>
        </w:tc>
      </w:tr>
    </w:tbl>
    <w:p w:rsidR="005D3B59" w:rsidRPr="00531385" w:rsidRDefault="005D3B59" w:rsidP="00625BE7">
      <w:pPr>
        <w:pStyle w:val="EndBox"/>
      </w:pPr>
    </w:p>
    <w:sectPr w:rsidR="005D3B59" w:rsidRPr="00531385" w:rsidSect="00EC1D80">
      <w:pgSz w:w="16838" w:h="11906" w:orient="landscape" w:code="9"/>
      <w:pgMar w:top="1077" w:right="851" w:bottom="1077" w:left="992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9" w:rsidRDefault="007A14C9" w:rsidP="002B6D93">
      <w:r>
        <w:separator/>
      </w:r>
    </w:p>
    <w:p w:rsidR="007A14C9" w:rsidRDefault="007A14C9"/>
  </w:endnote>
  <w:endnote w:type="continuationSeparator" w:id="0">
    <w:p w:rsidR="007A14C9" w:rsidRDefault="007A14C9" w:rsidP="002B6D93">
      <w:r>
        <w:continuationSeparator/>
      </w:r>
    </w:p>
    <w:p w:rsidR="007A14C9" w:rsidRDefault="007A1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0AD5" w:rsidRDefault="00DA0AD5" w:rsidP="00EC1D80">
        <w:pPr>
          <w:pStyle w:val="BodyText"/>
          <w:tabs>
            <w:tab w:val="center" w:pos="4820"/>
            <w:tab w:val="right" w:pos="9746"/>
          </w:tabs>
          <w:jc w:val="right"/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1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5" w:rsidRPr="006E6ADB" w:rsidRDefault="00DA0AD5" w:rsidP="00EC1D80">
    <w:pPr>
      <w:tabs>
        <w:tab w:val="left" w:pos="7088"/>
      </w:tabs>
      <w:spacing w:before="240"/>
      <w:jc w:val="right"/>
      <w:rPr>
        <w:szCs w:val="20"/>
      </w:rPr>
    </w:pPr>
    <w:r w:rsidRPr="006E6ADB">
      <w:rPr>
        <w:szCs w:val="20"/>
      </w:rPr>
      <w:tab/>
      <w:t xml:space="preserve">Published: </w:t>
    </w:r>
    <w:r w:rsidR="00501EEA">
      <w:rPr>
        <w:szCs w:val="20"/>
      </w:rPr>
      <w:t>July</w:t>
    </w:r>
    <w:r w:rsidR="00F85AA7">
      <w:rPr>
        <w:szCs w:val="20"/>
      </w:rPr>
      <w:t xml:space="preserve"> </w:t>
    </w:r>
    <w:r>
      <w:rPr>
        <w:szCs w:val="20"/>
      </w:rPr>
      <w:t>201</w:t>
    </w:r>
    <w:r w:rsidR="00501EEA">
      <w:rPr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9" w:rsidRDefault="007A14C9" w:rsidP="002B6D93">
      <w:r>
        <w:separator/>
      </w:r>
    </w:p>
    <w:p w:rsidR="007A14C9" w:rsidRDefault="007A14C9"/>
  </w:footnote>
  <w:footnote w:type="continuationSeparator" w:id="0">
    <w:p w:rsidR="007A14C9" w:rsidRDefault="007A14C9" w:rsidP="002B6D93">
      <w:r>
        <w:continuationSeparator/>
      </w:r>
    </w:p>
    <w:p w:rsidR="007A14C9" w:rsidRDefault="007A14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4FD569E"/>
    <w:multiLevelType w:val="hybridMultilevel"/>
    <w:tmpl w:val="B290B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72B67"/>
    <w:multiLevelType w:val="hybridMultilevel"/>
    <w:tmpl w:val="AC164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071C"/>
    <w:multiLevelType w:val="hybridMultilevel"/>
    <w:tmpl w:val="DC6002D8"/>
    <w:lvl w:ilvl="0" w:tplc="D76E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82BD8"/>
    <w:multiLevelType w:val="hybridMultilevel"/>
    <w:tmpl w:val="6952DD90"/>
    <w:lvl w:ilvl="0" w:tplc="6E8E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4C3F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67267"/>
    <w:rsid w:val="00083A73"/>
    <w:rsid w:val="000A10F4"/>
    <w:rsid w:val="000B3DE0"/>
    <w:rsid w:val="000C31E2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87A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5BCB"/>
    <w:rsid w:val="0022255C"/>
    <w:rsid w:val="0022489D"/>
    <w:rsid w:val="002262F3"/>
    <w:rsid w:val="00230559"/>
    <w:rsid w:val="002332F8"/>
    <w:rsid w:val="00234F75"/>
    <w:rsid w:val="00240F4B"/>
    <w:rsid w:val="002527F9"/>
    <w:rsid w:val="002575C5"/>
    <w:rsid w:val="0027231C"/>
    <w:rsid w:val="0027252F"/>
    <w:rsid w:val="00275B2F"/>
    <w:rsid w:val="002839B5"/>
    <w:rsid w:val="00283BCC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D552C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768B9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E7EED"/>
    <w:rsid w:val="004F20E3"/>
    <w:rsid w:val="004F211A"/>
    <w:rsid w:val="004F3159"/>
    <w:rsid w:val="004F4AEF"/>
    <w:rsid w:val="004F79A8"/>
    <w:rsid w:val="00501EEA"/>
    <w:rsid w:val="005247AD"/>
    <w:rsid w:val="005360B7"/>
    <w:rsid w:val="00536E0B"/>
    <w:rsid w:val="005535E5"/>
    <w:rsid w:val="00557E6A"/>
    <w:rsid w:val="00560451"/>
    <w:rsid w:val="0057250B"/>
    <w:rsid w:val="00574133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1928"/>
    <w:rsid w:val="005C0B41"/>
    <w:rsid w:val="005C1770"/>
    <w:rsid w:val="005C2D94"/>
    <w:rsid w:val="005C657D"/>
    <w:rsid w:val="005D3B59"/>
    <w:rsid w:val="005E3024"/>
    <w:rsid w:val="005F107C"/>
    <w:rsid w:val="005F7CE8"/>
    <w:rsid w:val="0060702F"/>
    <w:rsid w:val="006108B3"/>
    <w:rsid w:val="00622501"/>
    <w:rsid w:val="006237FB"/>
    <w:rsid w:val="0062451E"/>
    <w:rsid w:val="00625BE7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612E8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2914"/>
    <w:rsid w:val="006C382D"/>
    <w:rsid w:val="006D0F28"/>
    <w:rsid w:val="006D1162"/>
    <w:rsid w:val="006E6ADB"/>
    <w:rsid w:val="006E7F39"/>
    <w:rsid w:val="006F1F96"/>
    <w:rsid w:val="00700B01"/>
    <w:rsid w:val="00702DEB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14C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52CF5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218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2AF7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2004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2E83"/>
    <w:rsid w:val="00B336AF"/>
    <w:rsid w:val="00B3498C"/>
    <w:rsid w:val="00B4315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5BF"/>
    <w:rsid w:val="00E66B4F"/>
    <w:rsid w:val="00E741D5"/>
    <w:rsid w:val="00E74474"/>
    <w:rsid w:val="00E80915"/>
    <w:rsid w:val="00E87A6A"/>
    <w:rsid w:val="00E9232A"/>
    <w:rsid w:val="00EA4D1B"/>
    <w:rsid w:val="00EB1D11"/>
    <w:rsid w:val="00EC1D80"/>
    <w:rsid w:val="00EC3DC1"/>
    <w:rsid w:val="00ED2F1C"/>
    <w:rsid w:val="00ED3D05"/>
    <w:rsid w:val="00EE64AE"/>
    <w:rsid w:val="00F06445"/>
    <w:rsid w:val="00F07114"/>
    <w:rsid w:val="00F11D5D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1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Cully@ndhs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3d6913c4586a3ef8797194c3b030d004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f6acabde77dbc8c35948037de7bff560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7D156-EC84-4436-AC58-A36A79811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45F560-5A58-459F-92B5-2104546F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4304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HALL, Robin</cp:lastModifiedBy>
  <cp:revision>3</cp:revision>
  <cp:lastPrinted>2013-07-11T10:35:00Z</cp:lastPrinted>
  <dcterms:created xsi:type="dcterms:W3CDTF">2019-10-02T15:24:00Z</dcterms:created>
  <dcterms:modified xsi:type="dcterms:W3CDTF">2019-10-10T10:16:00Z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0x010100BD17B44D47A728488F65D9C43EFCFE2F</vt:lpwstr>
  </property>
  <property fmtid="{D5CDD505-2E9C-101B-9397-08002B2CF9AE}" pid="4" name="_dlc_DocIdItemGuid">
    <vt:lpwstr>9ccea65b-0374-4b6f-ae5f-9d1556e3148a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Owner">
    <vt:lpwstr>3;#DfE|a484111e-5b24-4ad9-9778-c536c8c88985</vt:lpwstr>
  </property>
  <property fmtid="{D5CDD505-2E9C-101B-9397-08002B2CF9AE}" pid="9" name="IWPSubject">
    <vt:lpwstr/>
  </property>
  <property fmtid="{D5CDD505-2E9C-101B-9397-08002B2CF9AE}" pid="10" name="IWPFunction">
    <vt:lpwstr/>
  </property>
  <property fmtid="{D5CDD505-2E9C-101B-9397-08002B2CF9AE}" pid="11" name="SW-DOC-ID">
    <vt:lpwstr>d921980adbd34dc8adb2409e6f933f44</vt:lpwstr>
  </property>
  <property fmtid="{D5CDD505-2E9C-101B-9397-08002B2CF9AE}" pid="12" name="SW-FINGERPRINT">
    <vt:lpwstr/>
  </property>
</Properties>
</file>